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EFF3B" w14:textId="77777777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ID:</w:t>
      </w:r>
      <w:r w:rsidR="00C1163F">
        <w:rPr>
          <w:rFonts w:ascii="Times New Roman" w:hAnsi="Times New Roman" w:cs="Times New Roman"/>
        </w:rPr>
        <w:t xml:space="preserve"> US325</w:t>
      </w:r>
    </w:p>
    <w:p w14:paraId="644EFF3C" w14:textId="77777777" w:rsidR="00B81ED4" w:rsidRDefault="00B81ED4" w:rsidP="004225EF">
      <w:pPr>
        <w:pStyle w:val="TopInfo"/>
        <w:jc w:val="both"/>
      </w:pPr>
      <w:r w:rsidRPr="008F7700">
        <w:rPr>
          <w:b/>
        </w:rPr>
        <w:t xml:space="preserve">User Story Name: </w:t>
      </w:r>
      <w:r w:rsidR="009B7E47" w:rsidRPr="00C673F9">
        <w:rPr>
          <w:rFonts w:ascii="Times New Roman" w:hAnsi="Times New Roman" w:cs="Times New Roman"/>
        </w:rPr>
        <w:t xml:space="preserve"> Auto-Post Manual Match for ERA/EFT</w:t>
      </w:r>
    </w:p>
    <w:p w14:paraId="644EFF3D" w14:textId="77777777" w:rsidR="00854280" w:rsidRDefault="00854280" w:rsidP="008F7700">
      <w:pPr>
        <w:pStyle w:val="TopInfo"/>
      </w:pPr>
      <w:r w:rsidRPr="00854280">
        <w:rPr>
          <w:b/>
        </w:rPr>
        <w:t xml:space="preserve">Priority (H, M, L): </w:t>
      </w:r>
    </w:p>
    <w:p w14:paraId="644EFF3E" w14:textId="77777777" w:rsidR="00B81ED4" w:rsidRPr="00B81ED4" w:rsidRDefault="00B961B5" w:rsidP="008F7700">
      <w:pPr>
        <w:pStyle w:val="TopInfo"/>
      </w:pPr>
      <w:r>
        <w:rPr>
          <w:b/>
        </w:rPr>
        <w:t>Sizing: 8</w:t>
      </w:r>
    </w:p>
    <w:p w14:paraId="644EFF3F" w14:textId="77777777" w:rsidR="00B81ED4" w:rsidRDefault="00B81ED4" w:rsidP="008F7700">
      <w:pPr>
        <w:pStyle w:val="TopInfo"/>
      </w:pPr>
      <w:r w:rsidRPr="008F7700">
        <w:rPr>
          <w:b/>
        </w:rPr>
        <w:t>Author:</w:t>
      </w:r>
      <w:r w:rsidR="00B41247">
        <w:rPr>
          <w:rFonts w:ascii="Times New Roman" w:hAnsi="Times New Roman" w:cs="Times New Roman"/>
        </w:rPr>
        <w:t xml:space="preserve"> Chad Morrison</w:t>
      </w:r>
    </w:p>
    <w:p w14:paraId="644EFF40" w14:textId="77777777" w:rsidR="00863371" w:rsidRDefault="00863371" w:rsidP="00863371">
      <w:pPr>
        <w:pStyle w:val="Heading1"/>
      </w:pPr>
      <w:r>
        <w:t>Story</w:t>
      </w:r>
    </w:p>
    <w:p w14:paraId="644EFF41" w14:textId="77777777" w:rsidR="00520D66" w:rsidRDefault="00C1163F" w:rsidP="00C1163F">
      <w:pPr>
        <w:pStyle w:val="BodyText"/>
        <w:rPr>
          <w:lang w:eastAsia="en-US"/>
        </w:rPr>
      </w:pPr>
      <w:r w:rsidRPr="00C673F9">
        <w:rPr>
          <w:rFonts w:ascii="Times New Roman" w:eastAsiaTheme="minorEastAsia" w:hAnsi="Times New Roman"/>
          <w:szCs w:val="22"/>
          <w:lang w:eastAsia="en-US"/>
        </w:rPr>
        <w:t xml:space="preserve">As an </w:t>
      </w:r>
      <w:proofErr w:type="spellStart"/>
      <w:r w:rsidRPr="00C673F9">
        <w:rPr>
          <w:rFonts w:ascii="Times New Roman" w:eastAsiaTheme="minorEastAsia" w:hAnsi="Times New Roman"/>
          <w:szCs w:val="22"/>
          <w:lang w:eastAsia="en-US"/>
        </w:rPr>
        <w:t>ePayments</w:t>
      </w:r>
      <w:proofErr w:type="spellEnd"/>
      <w:r w:rsidRPr="00C673F9">
        <w:rPr>
          <w:rFonts w:ascii="Times New Roman" w:eastAsiaTheme="minorEastAsia" w:hAnsi="Times New Roman"/>
          <w:szCs w:val="22"/>
          <w:lang w:eastAsia="en-US"/>
        </w:rPr>
        <w:t xml:space="preserve"> user,</w:t>
      </w:r>
      <w:r w:rsidR="00520D66" w:rsidRPr="00C673F9">
        <w:rPr>
          <w:rFonts w:ascii="Times New Roman" w:eastAsiaTheme="minorEastAsia" w:hAnsi="Times New Roman"/>
          <w:szCs w:val="22"/>
          <w:lang w:eastAsia="en-US"/>
        </w:rPr>
        <w:t xml:space="preserve"> I want all ERAs and EFTs to auto-post that meet the</w:t>
      </w:r>
      <w:r w:rsidRPr="00C673F9">
        <w:rPr>
          <w:rFonts w:ascii="Times New Roman" w:eastAsiaTheme="minorEastAsia" w:hAnsi="Times New Roman"/>
          <w:szCs w:val="22"/>
          <w:lang w:eastAsia="en-US"/>
        </w:rPr>
        <w:t xml:space="preserve"> auto-posting criteria. If the ERA/EFTs </w:t>
      </w:r>
      <w:proofErr w:type="gramStart"/>
      <w:r w:rsidRPr="00C673F9">
        <w:rPr>
          <w:rFonts w:ascii="Times New Roman" w:eastAsiaTheme="minorEastAsia" w:hAnsi="Times New Roman"/>
          <w:szCs w:val="22"/>
          <w:lang w:eastAsia="en-US"/>
        </w:rPr>
        <w:t>have</w:t>
      </w:r>
      <w:proofErr w:type="gramEnd"/>
      <w:r w:rsidRPr="00C673F9">
        <w:rPr>
          <w:rFonts w:ascii="Times New Roman" w:eastAsiaTheme="minorEastAsia" w:hAnsi="Times New Roman"/>
          <w:szCs w:val="22"/>
          <w:lang w:eastAsia="en-US"/>
        </w:rPr>
        <w:t xml:space="preserve"> been manually matched, I want these to auto post if appropriate. If the ERA has a CHK payment type</w:t>
      </w:r>
      <w:r w:rsidR="007B0570">
        <w:rPr>
          <w:rFonts w:ascii="Times New Roman" w:eastAsiaTheme="minorEastAsia" w:hAnsi="Times New Roman"/>
          <w:szCs w:val="22"/>
          <w:lang w:eastAsia="en-US"/>
        </w:rPr>
        <w:t xml:space="preserve"> and </w:t>
      </w:r>
      <w:proofErr w:type="gramStart"/>
      <w:r w:rsidR="007B0570">
        <w:rPr>
          <w:rFonts w:ascii="Times New Roman" w:eastAsiaTheme="minorEastAsia" w:hAnsi="Times New Roman"/>
          <w:szCs w:val="22"/>
          <w:lang w:eastAsia="en-US"/>
        </w:rPr>
        <w:t>a</w:t>
      </w:r>
      <w:proofErr w:type="gramEnd"/>
      <w:r w:rsidR="007B0570">
        <w:rPr>
          <w:rFonts w:ascii="Times New Roman" w:eastAsiaTheme="minorEastAsia" w:hAnsi="Times New Roman"/>
          <w:szCs w:val="22"/>
          <w:lang w:eastAsia="en-US"/>
        </w:rPr>
        <w:t xml:space="preserve"> EFT or</w:t>
      </w:r>
      <w:r w:rsidRPr="00C673F9">
        <w:rPr>
          <w:rFonts w:ascii="Times New Roman" w:eastAsiaTheme="minorEastAsia" w:hAnsi="Times New Roman"/>
          <w:szCs w:val="22"/>
          <w:lang w:eastAsia="en-US"/>
        </w:rPr>
        <w:t xml:space="preserve"> a manufactured</w:t>
      </w:r>
      <w:r w:rsidR="007B0570">
        <w:rPr>
          <w:rFonts w:ascii="Times New Roman" w:eastAsiaTheme="minorEastAsia" w:hAnsi="Times New Roman"/>
          <w:szCs w:val="22"/>
          <w:lang w:eastAsia="en-US"/>
        </w:rPr>
        <w:t xml:space="preserve"> EFT associated with</w:t>
      </w:r>
      <w:r w:rsidRPr="00C673F9">
        <w:rPr>
          <w:rFonts w:ascii="Times New Roman" w:eastAsiaTheme="minorEastAsia" w:hAnsi="Times New Roman"/>
          <w:szCs w:val="22"/>
          <w:lang w:eastAsia="en-US"/>
        </w:rPr>
        <w:t xml:space="preserve"> it, I want the ability to 'mark' these for auto</w:t>
      </w:r>
      <w:r w:rsidR="00520D66" w:rsidRPr="00C673F9">
        <w:rPr>
          <w:rFonts w:ascii="Times New Roman" w:eastAsiaTheme="minorEastAsia" w:hAnsi="Times New Roman"/>
          <w:szCs w:val="22"/>
          <w:lang w:eastAsia="en-US"/>
        </w:rPr>
        <w:t xml:space="preserve"> posting. The software should</w:t>
      </w:r>
      <w:r w:rsidRPr="00C673F9">
        <w:rPr>
          <w:rFonts w:ascii="Times New Roman" w:eastAsiaTheme="minorEastAsia" w:hAnsi="Times New Roman"/>
          <w:szCs w:val="22"/>
          <w:lang w:eastAsia="en-US"/>
        </w:rPr>
        <w:t xml:space="preserve"> </w:t>
      </w:r>
      <w:proofErr w:type="gramStart"/>
      <w:r w:rsidRPr="00C673F9">
        <w:rPr>
          <w:rFonts w:ascii="Times New Roman" w:eastAsiaTheme="minorEastAsia" w:hAnsi="Times New Roman"/>
          <w:szCs w:val="22"/>
          <w:lang w:eastAsia="en-US"/>
        </w:rPr>
        <w:t>auto-post</w:t>
      </w:r>
      <w:proofErr w:type="gramEnd"/>
      <w:r w:rsidRPr="00C673F9">
        <w:rPr>
          <w:rFonts w:ascii="Times New Roman" w:eastAsiaTheme="minorEastAsia" w:hAnsi="Times New Roman"/>
          <w:szCs w:val="22"/>
          <w:lang w:eastAsia="en-US"/>
        </w:rPr>
        <w:t xml:space="preserve"> these when applicable even though the payment type is CHK on the ERA. All auto posting criteria should still apply</w:t>
      </w:r>
    </w:p>
    <w:p w14:paraId="644EFF42" w14:textId="77777777" w:rsidR="00520D66" w:rsidRDefault="00520D66" w:rsidP="00520D66">
      <w:pPr>
        <w:pStyle w:val="Heading1"/>
      </w:pPr>
      <w:r>
        <w:t>Conversation</w:t>
      </w:r>
    </w:p>
    <w:p w14:paraId="644EFF43" w14:textId="77777777" w:rsidR="00520D66" w:rsidRPr="00C673F9" w:rsidRDefault="00520D66" w:rsidP="00C1163F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673F9">
        <w:rPr>
          <w:rFonts w:ascii="Times New Roman" w:eastAsiaTheme="minorEastAsia" w:hAnsi="Times New Roman"/>
          <w:szCs w:val="22"/>
          <w:lang w:eastAsia="en-US"/>
        </w:rPr>
        <w:t>Option – Manual Match EFT/ERA [RCDPE MANUAL MATCH EFT-ERA]</w:t>
      </w:r>
    </w:p>
    <w:p w14:paraId="644EFF44" w14:textId="77777777" w:rsidR="00520D66" w:rsidRPr="00C673F9" w:rsidRDefault="00520D66" w:rsidP="00C1163F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673F9">
        <w:rPr>
          <w:rFonts w:ascii="Times New Roman" w:eastAsiaTheme="minorEastAsia" w:hAnsi="Times New Roman"/>
          <w:szCs w:val="22"/>
          <w:lang w:eastAsia="en-US"/>
        </w:rPr>
        <w:t>Nightly auto-post processing</w:t>
      </w:r>
    </w:p>
    <w:p w14:paraId="644EFF45" w14:textId="77777777" w:rsidR="00520D66" w:rsidRPr="00C673F9" w:rsidRDefault="00520D66" w:rsidP="00C1163F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673F9">
        <w:rPr>
          <w:rFonts w:ascii="Times New Roman" w:eastAsiaTheme="minorEastAsia" w:hAnsi="Times New Roman"/>
          <w:szCs w:val="22"/>
          <w:lang w:eastAsia="en-US"/>
        </w:rPr>
        <w:t>Needs ERA validation of ERA prior to auto-posting</w:t>
      </w:r>
    </w:p>
    <w:p w14:paraId="644EFF46" w14:textId="77777777" w:rsidR="009B7E47" w:rsidRDefault="009B7E47" w:rsidP="00C1163F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673F9">
        <w:rPr>
          <w:rFonts w:ascii="Times New Roman" w:eastAsiaTheme="minorEastAsia" w:hAnsi="Times New Roman"/>
          <w:szCs w:val="22"/>
          <w:lang w:eastAsia="en-US"/>
        </w:rPr>
        <w:t>Excludes Pharmacy</w:t>
      </w:r>
    </w:p>
    <w:p w14:paraId="644EFF47" w14:textId="77777777" w:rsidR="00907BAD" w:rsidRPr="00E05D16" w:rsidRDefault="00907BAD" w:rsidP="00380279">
      <w:pPr>
        <w:pStyle w:val="BodyText"/>
        <w:rPr>
          <w:lang w:eastAsia="en-US"/>
        </w:rPr>
      </w:pPr>
      <w:r w:rsidRPr="00E05D16">
        <w:rPr>
          <w:lang w:eastAsia="en-US"/>
        </w:rPr>
        <w:t>5/10/17</w:t>
      </w:r>
    </w:p>
    <w:p w14:paraId="644EFF48" w14:textId="77777777" w:rsidR="00380279" w:rsidRDefault="00380279" w:rsidP="00380279">
      <w:pPr>
        <w:pStyle w:val="BodyText"/>
        <w:rPr>
          <w:lang w:eastAsia="en-US"/>
        </w:rPr>
      </w:pPr>
      <w:r w:rsidRPr="00E05D16">
        <w:rPr>
          <w:b/>
          <w:lang w:eastAsia="en-US"/>
        </w:rPr>
        <w:t>Question (Peter):</w:t>
      </w:r>
    </w:p>
    <w:p w14:paraId="644EFF49" w14:textId="2C128875" w:rsidR="00380279" w:rsidRDefault="00380279" w:rsidP="00380279">
      <w:pPr>
        <w:pStyle w:val="BodyText"/>
        <w:rPr>
          <w:lang w:eastAsia="en-US"/>
        </w:rPr>
      </w:pPr>
      <w:r>
        <w:rPr>
          <w:lang w:eastAsia="en-US"/>
        </w:rPr>
        <w:t xml:space="preserve">If we allow for CHK type ERA to be </w:t>
      </w:r>
      <w:proofErr w:type="spellStart"/>
      <w:r>
        <w:rPr>
          <w:lang w:eastAsia="en-US"/>
        </w:rPr>
        <w:t>autoposted</w:t>
      </w:r>
      <w:proofErr w:type="spellEnd"/>
      <w:r>
        <w:rPr>
          <w:lang w:eastAsia="en-US"/>
        </w:rPr>
        <w:t xml:space="preserve"> if marked for </w:t>
      </w:r>
      <w:proofErr w:type="spellStart"/>
      <w:r>
        <w:rPr>
          <w:lang w:eastAsia="en-US"/>
        </w:rPr>
        <w:t>autopost</w:t>
      </w:r>
      <w:proofErr w:type="spellEnd"/>
      <w:r>
        <w:rPr>
          <w:lang w:eastAsia="en-US"/>
        </w:rPr>
        <w:t xml:space="preserve"> manually (currently only ACH is allowed) we don't actually show ERA type on Worklist or Reports. Might be an issue, might not.</w:t>
      </w:r>
      <w:r w:rsidR="00E05D16" w:rsidRPr="00E05D16">
        <w:rPr>
          <w:b/>
          <w:lang w:eastAsia="en-US"/>
        </w:rPr>
        <w:t xml:space="preserve"> Answer:</w:t>
      </w:r>
      <w:r w:rsidR="000A6919" w:rsidRPr="00E05D16">
        <w:rPr>
          <w:lang w:eastAsia="en-US"/>
        </w:rPr>
        <w:t xml:space="preserve"> Not an issue</w:t>
      </w:r>
    </w:p>
    <w:p w14:paraId="644EFF4A" w14:textId="77777777" w:rsidR="00380279" w:rsidRDefault="00380279" w:rsidP="00380279">
      <w:pPr>
        <w:pStyle w:val="BodyText"/>
        <w:rPr>
          <w:lang w:eastAsia="en-US"/>
        </w:rPr>
      </w:pPr>
      <w:r>
        <w:rPr>
          <w:lang w:eastAsia="en-US"/>
        </w:rPr>
        <w:t xml:space="preserve">For example; CHK type manually marked for </w:t>
      </w:r>
      <w:proofErr w:type="spellStart"/>
      <w:r>
        <w:rPr>
          <w:lang w:eastAsia="en-US"/>
        </w:rPr>
        <w:t>autopost</w:t>
      </w:r>
      <w:proofErr w:type="spellEnd"/>
      <w:r>
        <w:rPr>
          <w:lang w:eastAsia="en-US"/>
        </w:rPr>
        <w:t xml:space="preserve"> then goes to APAR.</w:t>
      </w:r>
    </w:p>
    <w:p w14:paraId="644EFF4C" w14:textId="77777777" w:rsidR="00B81ED4" w:rsidRPr="00C855D3" w:rsidRDefault="00B81ED4" w:rsidP="00B81ED4">
      <w:pPr>
        <w:pStyle w:val="Heading1"/>
      </w:pPr>
      <w:r w:rsidRPr="00C855D3">
        <w:t>Detailed Listing of</w:t>
      </w:r>
      <w:r w:rsidR="003D15ED">
        <w:t xml:space="preserve">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644EFF52" w14:textId="7777777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644EFF4D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644EFF4E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44EFF4F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14:paraId="644EFF50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14:paraId="644EFF51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14:paraId="644EFF56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44EFF53" w14:textId="77777777" w:rsidR="001F389B" w:rsidRPr="00DB6112" w:rsidRDefault="00520D66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US325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44EFF54" w14:textId="07658388" w:rsidR="001F389B" w:rsidRPr="0003091F" w:rsidRDefault="004A7581" w:rsidP="004A7581">
            <w:pPr>
              <w:pStyle w:val="TableText"/>
              <w:rPr>
                <w:rFonts w:ascii="r_ansi" w:hAnsi="r_ansi" w:cs="r_ansi"/>
              </w:rPr>
            </w:pPr>
            <w:r w:rsidRPr="004A7581">
              <w:rPr>
                <w:rFonts w:cs="Times New Roman"/>
                <w:sz w:val="24"/>
                <w:szCs w:val="24"/>
              </w:rPr>
              <w:t xml:space="preserve">The </w:t>
            </w:r>
            <w:r w:rsidR="00CF2107" w:rsidRPr="00CF2107">
              <w:rPr>
                <w:rFonts w:cs="Times New Roman"/>
                <w:sz w:val="24"/>
                <w:szCs w:val="24"/>
              </w:rPr>
              <w:t>Manual Match EFT-ERA menu option</w:t>
            </w:r>
            <w:r w:rsidR="00CF2107">
              <w:rPr>
                <w:rFonts w:cs="Times New Roman"/>
                <w:sz w:val="24"/>
                <w:szCs w:val="24"/>
              </w:rPr>
              <w:t xml:space="preserve"> on the Clerk’s AR Menu must allow </w:t>
            </w:r>
            <w:r w:rsidR="00CF2107" w:rsidRPr="004B7FFD">
              <w:rPr>
                <w:rFonts w:cs="Times New Roman"/>
                <w:sz w:val="24"/>
                <w:szCs w:val="24"/>
              </w:rPr>
              <w:t>the CHK type ERA to be marked for auto-post</w:t>
            </w:r>
          </w:p>
        </w:tc>
        <w:tc>
          <w:tcPr>
            <w:tcW w:w="2250" w:type="dxa"/>
          </w:tcPr>
          <w:p w14:paraId="644EFF55" w14:textId="77777777"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14:paraId="644EFF5A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44EFF57" w14:textId="2068B6CF" w:rsidR="00872BAF" w:rsidRPr="00DB6112" w:rsidRDefault="004B7FFD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US325.2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44EFF58" w14:textId="784A217D" w:rsidR="00872BAF" w:rsidRPr="004B7FFD" w:rsidRDefault="0083589D" w:rsidP="001F389B">
            <w:pPr>
              <w:pStyle w:val="TableTex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M</w:t>
            </w:r>
            <w:r w:rsidR="004B7FFD" w:rsidRPr="004B7FFD">
              <w:rPr>
                <w:rFonts w:cs="Times New Roman"/>
                <w:sz w:val="24"/>
                <w:szCs w:val="24"/>
              </w:rPr>
              <w:t xml:space="preserve">anual Match </w:t>
            </w:r>
            <w:r w:rsidR="00CF2107">
              <w:rPr>
                <w:rFonts w:cs="Times New Roman"/>
                <w:sz w:val="24"/>
                <w:szCs w:val="24"/>
              </w:rPr>
              <w:t>Option</w:t>
            </w:r>
            <w:r w:rsidR="004B7FFD" w:rsidRPr="004B7FFD">
              <w:rPr>
                <w:rFonts w:cs="Times New Roman"/>
                <w:sz w:val="24"/>
                <w:szCs w:val="24"/>
              </w:rPr>
              <w:t xml:space="preserve"> in the ERA Worklist must allow the CHK type ERA to be marked for auto-post</w:t>
            </w:r>
          </w:p>
        </w:tc>
        <w:tc>
          <w:tcPr>
            <w:tcW w:w="2250" w:type="dxa"/>
          </w:tcPr>
          <w:p w14:paraId="644EFF59" w14:textId="2A46F20E" w:rsidR="00872BAF" w:rsidRPr="00DB6112" w:rsidRDefault="004B7FFD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14:paraId="644EFF5E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44EFF5B" w14:textId="35555D57" w:rsidR="00872BAF" w:rsidRPr="00DB6112" w:rsidRDefault="00CF210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US325.3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644EFF5C" w14:textId="300BDBB1" w:rsidR="00872BAF" w:rsidRPr="00DB6112" w:rsidRDefault="00CF2107" w:rsidP="00CF2107">
            <w:pPr>
              <w:pStyle w:val="TableText"/>
              <w:rPr>
                <w:rFonts w:ascii="Arial" w:hAnsi="Arial"/>
              </w:rPr>
            </w:pPr>
            <w:r w:rsidRPr="00CF2107">
              <w:rPr>
                <w:rFonts w:cs="Times New Roman"/>
                <w:sz w:val="24"/>
                <w:szCs w:val="24"/>
              </w:rPr>
              <w:t>All ERAs and EFTs that meet the auto-posting criteria</w:t>
            </w:r>
            <w:r>
              <w:rPr>
                <w:rFonts w:cs="Times New Roman"/>
                <w:sz w:val="24"/>
                <w:szCs w:val="24"/>
              </w:rPr>
              <w:t xml:space="preserve"> must still </w:t>
            </w:r>
            <w:r>
              <w:rPr>
                <w:rFonts w:cs="Times New Roman"/>
                <w:sz w:val="24"/>
                <w:szCs w:val="24"/>
              </w:rPr>
              <w:lastRenderedPageBreak/>
              <w:t>auto-post.</w:t>
            </w:r>
          </w:p>
        </w:tc>
        <w:tc>
          <w:tcPr>
            <w:tcW w:w="2250" w:type="dxa"/>
          </w:tcPr>
          <w:p w14:paraId="644EFF5D" w14:textId="77777777" w:rsidR="00872BAF" w:rsidRPr="00DB6112" w:rsidRDefault="00872BAF" w:rsidP="00C514E2">
            <w:pPr>
              <w:pStyle w:val="TableText"/>
              <w:rPr>
                <w:rFonts w:ascii="Arial" w:hAnsi="Arial"/>
              </w:rPr>
            </w:pPr>
          </w:p>
        </w:tc>
      </w:tr>
      <w:tr w:rsidR="0083589D" w:rsidRPr="00C855D3" w14:paraId="50C2CB40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E2299EA" w14:textId="4D58228A" w:rsidR="0083589D" w:rsidRDefault="0083589D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US324.4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077853E" w14:textId="442C10FE" w:rsidR="0083589D" w:rsidRPr="00CF2107" w:rsidRDefault="0083589D" w:rsidP="0083589D">
            <w:pPr>
              <w:pStyle w:val="TableTex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CHK type ERAs will only auto-post if they have been manually marked for auto-posting</w:t>
            </w:r>
          </w:p>
        </w:tc>
        <w:tc>
          <w:tcPr>
            <w:tcW w:w="2250" w:type="dxa"/>
          </w:tcPr>
          <w:p w14:paraId="443F7044" w14:textId="77777777" w:rsidR="0083589D" w:rsidRPr="00DB6112" w:rsidRDefault="0083589D" w:rsidP="00C514E2">
            <w:pPr>
              <w:pStyle w:val="TableText"/>
              <w:rPr>
                <w:rFonts w:ascii="Arial" w:hAnsi="Arial"/>
              </w:rPr>
            </w:pPr>
          </w:p>
        </w:tc>
      </w:tr>
    </w:tbl>
    <w:p w14:paraId="644EFF6F" w14:textId="77777777" w:rsidR="00B81ED4" w:rsidRDefault="00B81ED4" w:rsidP="008F7700">
      <w:pPr>
        <w:pStyle w:val="Heading1"/>
      </w:pPr>
      <w:r w:rsidRPr="00C855D3">
        <w:t>Constraints</w:t>
      </w:r>
    </w:p>
    <w:p w14:paraId="644EFF70" w14:textId="77777777"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644EFF71" w14:textId="77777777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14:paraId="644EFF72" w14:textId="77777777"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644EFF73" w14:textId="77777777" w:rsidR="00051DB8" w:rsidRPr="00C855D3" w:rsidRDefault="00913CC0" w:rsidP="00051DB8">
      <w:pPr>
        <w:pStyle w:val="Heading1"/>
      </w:pPr>
      <w:r>
        <w:t>Assumptions</w:t>
      </w:r>
    </w:p>
    <w:p w14:paraId="644EFF74" w14:textId="77777777"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644EFF75" w14:textId="77777777" w:rsidR="00C90651" w:rsidRDefault="00C90651" w:rsidP="00C90651">
      <w:pPr>
        <w:pStyle w:val="Heading1"/>
      </w:pPr>
      <w:r>
        <w:t xml:space="preserve">Dependencies/Impacts Outside of </w:t>
      </w:r>
      <w:proofErr w:type="spellStart"/>
      <w:r>
        <w:t>VistA</w:t>
      </w:r>
      <w:proofErr w:type="spellEnd"/>
    </w:p>
    <w:p w14:paraId="644EFF76" w14:textId="77777777"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14:paraId="644EFF77" w14:textId="77777777" w:rsidR="00C90651" w:rsidRPr="00C90651" w:rsidRDefault="00C90651" w:rsidP="00C90651">
      <w:pPr>
        <w:pStyle w:val="BodyText"/>
        <w:rPr>
          <w:lang w:eastAsia="en-US"/>
        </w:rPr>
      </w:pPr>
    </w:p>
    <w:p w14:paraId="644EFF78" w14:textId="77777777" w:rsidR="00750C82" w:rsidRPr="001B56B9" w:rsidRDefault="00750C82" w:rsidP="00051DB8">
      <w:pPr>
        <w:pStyle w:val="Heading1"/>
        <w:rPr>
          <w:b w:val="0"/>
        </w:rPr>
      </w:pPr>
    </w:p>
    <w:p w14:paraId="644EFF79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644EFF7B" w14:textId="77777777" w:rsidTr="00C514E2">
        <w:tc>
          <w:tcPr>
            <w:tcW w:w="9468" w:type="dxa"/>
          </w:tcPr>
          <w:p w14:paraId="644EFF7A" w14:textId="77777777" w:rsidR="00051DB8" w:rsidRPr="00C855D3" w:rsidRDefault="00051DB8" w:rsidP="00C514E2">
            <w:pPr>
              <w:pStyle w:val="BodyText"/>
            </w:pPr>
          </w:p>
        </w:tc>
      </w:tr>
    </w:tbl>
    <w:p w14:paraId="644EFF7C" w14:textId="77777777" w:rsidR="00051DB8" w:rsidRDefault="00051DB8" w:rsidP="00051DB8">
      <w:pPr>
        <w:spacing w:before="200" w:line="240" w:lineRule="auto"/>
      </w:pPr>
    </w:p>
    <w:p w14:paraId="644EFF7D" w14:textId="77777777" w:rsidR="006F762D" w:rsidRDefault="006F762D" w:rsidP="00051DB8">
      <w:pPr>
        <w:spacing w:before="200" w:line="240" w:lineRule="auto"/>
      </w:pPr>
    </w:p>
    <w:p w14:paraId="644EFF7E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644EFF83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4EFF7F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4EFF80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4EFF81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4EFF82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83589D" w:rsidRPr="00C855D3" w14:paraId="6DE20E29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7E3F" w14:textId="551CB6C6" w:rsidR="0083589D" w:rsidRDefault="0083589D" w:rsidP="006A6B6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5/16/2017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FE98" w14:textId="67B64771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E08A" w14:textId="128662B4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E75E" w14:textId="121F4813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Team Leidos</w:t>
            </w:r>
          </w:p>
        </w:tc>
      </w:tr>
      <w:tr w:rsidR="0083589D" w:rsidRPr="00C855D3" w14:paraId="644EFF88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F84" w14:textId="77777777" w:rsidR="0083589D" w:rsidRPr="00DB6112" w:rsidRDefault="0083589D" w:rsidP="006A6B6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Pr="00DB6112">
              <w:rPr>
                <w:rFonts w:ascii="Arial" w:hAnsi="Arial"/>
              </w:rPr>
              <w:t>/1</w:t>
            </w:r>
            <w:r>
              <w:rPr>
                <w:rFonts w:ascii="Arial" w:hAnsi="Arial"/>
              </w:rPr>
              <w:t>2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F85" w14:textId="77777777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F86" w14:textId="77777777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FF87" w14:textId="77777777" w:rsidR="0083589D" w:rsidRPr="00DB6112" w:rsidRDefault="0083589D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14:paraId="644EFF89" w14:textId="77777777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7309C" w14:textId="77777777" w:rsidR="00643A4D" w:rsidRDefault="00643A4D" w:rsidP="00B81ED4">
      <w:pPr>
        <w:spacing w:after="0" w:line="240" w:lineRule="auto"/>
      </w:pPr>
      <w:r>
        <w:separator/>
      </w:r>
    </w:p>
  </w:endnote>
  <w:endnote w:type="continuationSeparator" w:id="0">
    <w:p w14:paraId="20851743" w14:textId="77777777" w:rsidR="00643A4D" w:rsidRDefault="00643A4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0725" w14:textId="77777777" w:rsidR="00DB116E" w:rsidRDefault="00DB11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FF90" w14:textId="77777777" w:rsidR="002407DA" w:rsidRPr="00DB116E" w:rsidRDefault="002407DA" w:rsidP="00DB11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E02D4" w14:textId="77777777" w:rsidR="00DB116E" w:rsidRDefault="00DB1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62A39" w14:textId="77777777" w:rsidR="00643A4D" w:rsidRDefault="00643A4D" w:rsidP="00B81ED4">
      <w:pPr>
        <w:spacing w:after="0" w:line="240" w:lineRule="auto"/>
      </w:pPr>
      <w:r>
        <w:separator/>
      </w:r>
    </w:p>
  </w:footnote>
  <w:footnote w:type="continuationSeparator" w:id="0">
    <w:p w14:paraId="33678D9A" w14:textId="77777777" w:rsidR="00643A4D" w:rsidRDefault="00643A4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91D22" w14:textId="77777777" w:rsidR="00DB116E" w:rsidRDefault="00DB11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FF8E" w14:textId="72B1DF26" w:rsidR="00122200" w:rsidRPr="00DB116E" w:rsidRDefault="00122200" w:rsidP="00DB11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DE6BA" w14:textId="77777777" w:rsidR="00DB116E" w:rsidRDefault="00DB11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0E1B"/>
    <w:rsid w:val="00051DB8"/>
    <w:rsid w:val="00061932"/>
    <w:rsid w:val="00065FA0"/>
    <w:rsid w:val="000710F8"/>
    <w:rsid w:val="00074024"/>
    <w:rsid w:val="0007552E"/>
    <w:rsid w:val="00087ACA"/>
    <w:rsid w:val="000A3203"/>
    <w:rsid w:val="000A6919"/>
    <w:rsid w:val="000B507F"/>
    <w:rsid w:val="000B7003"/>
    <w:rsid w:val="000E2CAD"/>
    <w:rsid w:val="000F1BBE"/>
    <w:rsid w:val="001040C3"/>
    <w:rsid w:val="00122200"/>
    <w:rsid w:val="00122BFA"/>
    <w:rsid w:val="001349FD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60E4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D5AE1"/>
    <w:rsid w:val="002E61D7"/>
    <w:rsid w:val="002F5A9A"/>
    <w:rsid w:val="00300456"/>
    <w:rsid w:val="0031646F"/>
    <w:rsid w:val="00317AF6"/>
    <w:rsid w:val="00320E46"/>
    <w:rsid w:val="0033331F"/>
    <w:rsid w:val="0033462F"/>
    <w:rsid w:val="00334CFE"/>
    <w:rsid w:val="00354BF7"/>
    <w:rsid w:val="0035711A"/>
    <w:rsid w:val="00361074"/>
    <w:rsid w:val="003628E1"/>
    <w:rsid w:val="00364D54"/>
    <w:rsid w:val="0037467B"/>
    <w:rsid w:val="00380279"/>
    <w:rsid w:val="003856F8"/>
    <w:rsid w:val="0039553C"/>
    <w:rsid w:val="003966B3"/>
    <w:rsid w:val="003B7B43"/>
    <w:rsid w:val="003C25EA"/>
    <w:rsid w:val="003C3E0D"/>
    <w:rsid w:val="003D15ED"/>
    <w:rsid w:val="003D44CB"/>
    <w:rsid w:val="003E2A7D"/>
    <w:rsid w:val="003F2EBB"/>
    <w:rsid w:val="004128D9"/>
    <w:rsid w:val="004225EF"/>
    <w:rsid w:val="00427433"/>
    <w:rsid w:val="004301E3"/>
    <w:rsid w:val="00437F5F"/>
    <w:rsid w:val="004476B5"/>
    <w:rsid w:val="004626D3"/>
    <w:rsid w:val="00462834"/>
    <w:rsid w:val="0046560F"/>
    <w:rsid w:val="00470066"/>
    <w:rsid w:val="00473384"/>
    <w:rsid w:val="004A7581"/>
    <w:rsid w:val="004B7FFD"/>
    <w:rsid w:val="004E0CC3"/>
    <w:rsid w:val="004E4F95"/>
    <w:rsid w:val="004E594D"/>
    <w:rsid w:val="004E694A"/>
    <w:rsid w:val="00501766"/>
    <w:rsid w:val="00520D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0F22"/>
    <w:rsid w:val="00634AEA"/>
    <w:rsid w:val="006366A4"/>
    <w:rsid w:val="006375AB"/>
    <w:rsid w:val="00643A4D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A6B65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3060"/>
    <w:rsid w:val="00714C6C"/>
    <w:rsid w:val="00737A4A"/>
    <w:rsid w:val="00740199"/>
    <w:rsid w:val="0074659C"/>
    <w:rsid w:val="00750C82"/>
    <w:rsid w:val="00753EB7"/>
    <w:rsid w:val="00754B8C"/>
    <w:rsid w:val="0078631D"/>
    <w:rsid w:val="00795B7B"/>
    <w:rsid w:val="007A12E2"/>
    <w:rsid w:val="007B0570"/>
    <w:rsid w:val="007D2198"/>
    <w:rsid w:val="007F2230"/>
    <w:rsid w:val="00806D28"/>
    <w:rsid w:val="00810C38"/>
    <w:rsid w:val="00813585"/>
    <w:rsid w:val="00815F3C"/>
    <w:rsid w:val="0083589D"/>
    <w:rsid w:val="00854280"/>
    <w:rsid w:val="00854629"/>
    <w:rsid w:val="00863371"/>
    <w:rsid w:val="0087073A"/>
    <w:rsid w:val="00872BAF"/>
    <w:rsid w:val="008748B5"/>
    <w:rsid w:val="008770A7"/>
    <w:rsid w:val="0088104C"/>
    <w:rsid w:val="00882273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BAD"/>
    <w:rsid w:val="009101E4"/>
    <w:rsid w:val="00913CC0"/>
    <w:rsid w:val="00915C24"/>
    <w:rsid w:val="00922D6B"/>
    <w:rsid w:val="00926205"/>
    <w:rsid w:val="00927B23"/>
    <w:rsid w:val="00927E35"/>
    <w:rsid w:val="00937AAD"/>
    <w:rsid w:val="009423E6"/>
    <w:rsid w:val="009503E3"/>
    <w:rsid w:val="00950E37"/>
    <w:rsid w:val="009543D3"/>
    <w:rsid w:val="0095744D"/>
    <w:rsid w:val="00982E5D"/>
    <w:rsid w:val="009B7E47"/>
    <w:rsid w:val="009C6F72"/>
    <w:rsid w:val="009D06B5"/>
    <w:rsid w:val="009F4EED"/>
    <w:rsid w:val="009F659F"/>
    <w:rsid w:val="009F6C6F"/>
    <w:rsid w:val="009F7269"/>
    <w:rsid w:val="00A0367E"/>
    <w:rsid w:val="00A03ECA"/>
    <w:rsid w:val="00A05D64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73243"/>
    <w:rsid w:val="00A73A4C"/>
    <w:rsid w:val="00A8070F"/>
    <w:rsid w:val="00A866B3"/>
    <w:rsid w:val="00A93BCB"/>
    <w:rsid w:val="00AA23E4"/>
    <w:rsid w:val="00AB0792"/>
    <w:rsid w:val="00AE62D7"/>
    <w:rsid w:val="00AF35DD"/>
    <w:rsid w:val="00AF62EE"/>
    <w:rsid w:val="00B00D1E"/>
    <w:rsid w:val="00B03020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7A03"/>
    <w:rsid w:val="00C1163F"/>
    <w:rsid w:val="00C32742"/>
    <w:rsid w:val="00C34E29"/>
    <w:rsid w:val="00C441B6"/>
    <w:rsid w:val="00C514E2"/>
    <w:rsid w:val="00C539C3"/>
    <w:rsid w:val="00C55FC3"/>
    <w:rsid w:val="00C57402"/>
    <w:rsid w:val="00C60E1D"/>
    <w:rsid w:val="00C673F9"/>
    <w:rsid w:val="00C82D46"/>
    <w:rsid w:val="00C90651"/>
    <w:rsid w:val="00C9601D"/>
    <w:rsid w:val="00C967D9"/>
    <w:rsid w:val="00CA66B6"/>
    <w:rsid w:val="00CC117E"/>
    <w:rsid w:val="00CE1353"/>
    <w:rsid w:val="00CE7405"/>
    <w:rsid w:val="00CF2107"/>
    <w:rsid w:val="00CF5232"/>
    <w:rsid w:val="00D23AF2"/>
    <w:rsid w:val="00D32FD3"/>
    <w:rsid w:val="00D5350F"/>
    <w:rsid w:val="00D90CA7"/>
    <w:rsid w:val="00D9525F"/>
    <w:rsid w:val="00D97C4D"/>
    <w:rsid w:val="00DA4962"/>
    <w:rsid w:val="00DB116E"/>
    <w:rsid w:val="00DB6112"/>
    <w:rsid w:val="00DF08B8"/>
    <w:rsid w:val="00DF294B"/>
    <w:rsid w:val="00DF39D3"/>
    <w:rsid w:val="00E05D16"/>
    <w:rsid w:val="00E14ECC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37C5"/>
    <w:rsid w:val="00F76FB3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EF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0</DocSecurity>
  <Lines>13</Lines>
  <Paragraphs>3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2017-11-03T18:35:00Z</dcterms:created>
  <dcterms:modified xsi:type="dcterms:W3CDTF">2017-11-03T18:35:00Z</dcterms:modified>
</cp:coreProperties>
</file>